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CA54" w14:textId="00D7C6CE" w:rsidR="00861542" w:rsidRPr="00564832" w:rsidRDefault="00861542" w:rsidP="00861542">
      <w:pPr>
        <w:tabs>
          <w:tab w:val="left" w:pos="8023"/>
        </w:tabs>
        <w:spacing w:before="61"/>
        <w:rPr>
          <w:b/>
          <w:iCs/>
          <w:sz w:val="24"/>
        </w:rPr>
      </w:pPr>
      <w:r>
        <w:rPr>
          <w:b/>
          <w:sz w:val="24"/>
        </w:rPr>
        <w:t>CENWP-OD-</w:t>
      </w:r>
      <w:r>
        <w:rPr>
          <w:b/>
          <w:iCs/>
          <w:sz w:val="24"/>
        </w:rPr>
        <w:t>B</w:t>
      </w:r>
      <w:r w:rsidR="00B110D2">
        <w:rPr>
          <w:b/>
          <w:i/>
          <w:sz w:val="24"/>
        </w:rPr>
        <w:t xml:space="preserve">                                                                                                         </w:t>
      </w:r>
      <w:r w:rsidR="00B110D2">
        <w:rPr>
          <w:b/>
          <w:iCs/>
          <w:sz w:val="24"/>
        </w:rPr>
        <w:t>21</w:t>
      </w:r>
      <w:r w:rsidR="006E2C00">
        <w:rPr>
          <w:b/>
          <w:iCs/>
          <w:sz w:val="24"/>
        </w:rPr>
        <w:t xml:space="preserve"> Jan</w:t>
      </w:r>
      <w:r w:rsidR="00B110D2">
        <w:rPr>
          <w:b/>
          <w:iCs/>
          <w:sz w:val="24"/>
        </w:rPr>
        <w:t>uary</w:t>
      </w:r>
      <w:r w:rsidR="006E2C00">
        <w:rPr>
          <w:b/>
          <w:iCs/>
          <w:sz w:val="24"/>
        </w:rPr>
        <w:t xml:space="preserve"> 2025</w:t>
      </w:r>
    </w:p>
    <w:p w14:paraId="3E1ED1AE" w14:textId="77777777" w:rsidR="00861542" w:rsidRDefault="00861542" w:rsidP="00861542">
      <w:pPr>
        <w:pStyle w:val="BodyText"/>
        <w:spacing w:before="3"/>
        <w:rPr>
          <w:b/>
          <w:i/>
          <w:sz w:val="31"/>
        </w:rPr>
      </w:pPr>
    </w:p>
    <w:p w14:paraId="3F5EDFE5" w14:textId="77777777" w:rsidR="00861542" w:rsidRDefault="00861542" w:rsidP="00861542">
      <w:pPr>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p>
    <w:p w14:paraId="35C02C4F" w14:textId="77777777" w:rsidR="00861542" w:rsidRDefault="00861542" w:rsidP="00861542">
      <w:pPr>
        <w:pStyle w:val="BodyText"/>
        <w:spacing w:before="3"/>
        <w:rPr>
          <w:b/>
          <w:i/>
          <w:sz w:val="31"/>
        </w:rPr>
      </w:pPr>
    </w:p>
    <w:p w14:paraId="28709D8E" w14:textId="2BA32195" w:rsidR="00861542" w:rsidRPr="00E2673F" w:rsidRDefault="00861542" w:rsidP="00861542">
      <w:pPr>
        <w:rPr>
          <w:b/>
          <w:iCs/>
          <w:sz w:val="24"/>
        </w:rPr>
      </w:pPr>
      <w:r>
        <w:rPr>
          <w:b/>
          <w:sz w:val="24"/>
        </w:rPr>
        <w:t>SUBJECT:</w:t>
      </w:r>
      <w:r>
        <w:rPr>
          <w:b/>
          <w:spacing w:val="-2"/>
          <w:sz w:val="24"/>
        </w:rPr>
        <w:t xml:space="preserve"> </w:t>
      </w:r>
      <w:r>
        <w:rPr>
          <w:b/>
          <w:iCs/>
          <w:sz w:val="24"/>
        </w:rPr>
        <w:t>2</w:t>
      </w:r>
      <w:r w:rsidR="006E2C00">
        <w:rPr>
          <w:b/>
          <w:iCs/>
          <w:sz w:val="24"/>
        </w:rPr>
        <w:t>5</w:t>
      </w:r>
      <w:r>
        <w:rPr>
          <w:b/>
          <w:iCs/>
          <w:sz w:val="24"/>
        </w:rPr>
        <w:t>BON0</w:t>
      </w:r>
      <w:r w:rsidR="006E2C00">
        <w:rPr>
          <w:b/>
          <w:iCs/>
          <w:sz w:val="24"/>
        </w:rPr>
        <w:t>01</w:t>
      </w:r>
      <w:r w:rsidR="000C44EC">
        <w:rPr>
          <w:b/>
          <w:iCs/>
          <w:sz w:val="24"/>
        </w:rPr>
        <w:t xml:space="preserve"> </w:t>
      </w:r>
      <w:r>
        <w:rPr>
          <w:b/>
          <w:iCs/>
          <w:sz w:val="24"/>
        </w:rPr>
        <w:t xml:space="preserve">MFR </w:t>
      </w:r>
      <w:r w:rsidR="006E2C00">
        <w:rPr>
          <w:b/>
          <w:iCs/>
          <w:sz w:val="24"/>
        </w:rPr>
        <w:t xml:space="preserve">Oil Spill in PH1 Forebay </w:t>
      </w:r>
    </w:p>
    <w:p w14:paraId="035915AD" w14:textId="77777777" w:rsidR="00861542" w:rsidRDefault="00861542" w:rsidP="00861542">
      <w:pPr>
        <w:pStyle w:val="BodyText"/>
        <w:rPr>
          <w:b/>
          <w:sz w:val="26"/>
        </w:rPr>
      </w:pPr>
    </w:p>
    <w:p w14:paraId="24938CE1" w14:textId="34E6E9DF" w:rsidR="00A379B1" w:rsidRDefault="00D805A6" w:rsidP="006E2C00">
      <w:pPr>
        <w:rPr>
          <w:iCs/>
          <w:sz w:val="24"/>
        </w:rPr>
      </w:pPr>
      <w:r>
        <w:rPr>
          <w:iCs/>
          <w:sz w:val="24"/>
        </w:rPr>
        <w:t>O</w:t>
      </w:r>
      <w:r w:rsidR="006E2C00">
        <w:rPr>
          <w:iCs/>
          <w:sz w:val="24"/>
        </w:rPr>
        <w:t>n</w:t>
      </w:r>
      <w:r w:rsidR="00861542">
        <w:rPr>
          <w:iCs/>
          <w:sz w:val="24"/>
        </w:rPr>
        <w:t xml:space="preserve"> </w:t>
      </w:r>
      <w:r w:rsidR="006E2C00">
        <w:rPr>
          <w:iCs/>
          <w:sz w:val="24"/>
        </w:rPr>
        <w:t>Thursday 16 January 2025</w:t>
      </w:r>
      <w:r>
        <w:rPr>
          <w:iCs/>
          <w:sz w:val="24"/>
        </w:rPr>
        <w:t xml:space="preserve"> at 0845</w:t>
      </w:r>
      <w:r w:rsidR="006E2C00">
        <w:rPr>
          <w:iCs/>
          <w:sz w:val="24"/>
        </w:rPr>
        <w:t xml:space="preserve">, the Powerhouse 1 (PH1) mechanical crew notified the Bonneville Environmental Compliance Crew (ECC) and the spill response team of the possible presence of an oil sheen in front of </w:t>
      </w:r>
      <w:r w:rsidR="004B209B">
        <w:rPr>
          <w:iCs/>
          <w:sz w:val="24"/>
        </w:rPr>
        <w:t>Ice and Trash Sluiceway</w:t>
      </w:r>
      <w:r>
        <w:rPr>
          <w:iCs/>
          <w:sz w:val="24"/>
        </w:rPr>
        <w:t xml:space="preserve"> (ITS)</w:t>
      </w:r>
      <w:r w:rsidR="004B209B">
        <w:rPr>
          <w:iCs/>
          <w:sz w:val="24"/>
        </w:rPr>
        <w:t xml:space="preserve"> </w:t>
      </w:r>
      <w:r w:rsidR="006E2C00">
        <w:rPr>
          <w:iCs/>
          <w:sz w:val="24"/>
        </w:rPr>
        <w:t>10B gate slot in the PH1 forebay. The ECC and spill response team arrived on scene at 0900 and confirmed multiple 3-inch globular, milky, white, oily substances had surfaced during routine trash raking operations</w:t>
      </w:r>
      <w:r w:rsidR="00A379B1">
        <w:rPr>
          <w:iCs/>
          <w:sz w:val="24"/>
        </w:rPr>
        <w:t xml:space="preserve"> at gate slot 10B. An oil boom was deployed and the substance was recovered. The source of the sheen was unknown at the time, and USACE is not suspected to be the source due to the absence of any filled equipment being located upstream of the gate slots.  At the time, the volume of oil was estimated to be around 1 tablespoon, and crews suspected the source to be contained within the debris that was dislodged from the gate slot during trash raking operations. </w:t>
      </w:r>
    </w:p>
    <w:p w14:paraId="0A770F51" w14:textId="77777777" w:rsidR="00A379B1" w:rsidRDefault="00A379B1" w:rsidP="006E2C00">
      <w:pPr>
        <w:rPr>
          <w:iCs/>
          <w:sz w:val="24"/>
        </w:rPr>
      </w:pPr>
    </w:p>
    <w:p w14:paraId="72EB648D" w14:textId="53021910" w:rsidR="00A379B1" w:rsidRDefault="00A379B1" w:rsidP="006E2C00">
      <w:pPr>
        <w:rPr>
          <w:iCs/>
          <w:sz w:val="24"/>
        </w:rPr>
      </w:pPr>
      <w:r>
        <w:rPr>
          <w:iCs/>
          <w:sz w:val="24"/>
        </w:rPr>
        <w:t>At 1140</w:t>
      </w:r>
      <w:r w:rsidR="00737E1D">
        <w:rPr>
          <w:iCs/>
          <w:sz w:val="24"/>
        </w:rPr>
        <w:t xml:space="preserve"> on 16 January</w:t>
      </w:r>
      <w:r>
        <w:rPr>
          <w:iCs/>
          <w:sz w:val="24"/>
        </w:rPr>
        <w:t xml:space="preserve">, the mechanical crew contacted ECC to return to gate slot 10B due to the presence of a larger oil sheen after what appeared to be a large canvas agricultural tote was </w:t>
      </w:r>
      <w:r w:rsidR="000420C1">
        <w:rPr>
          <w:iCs/>
          <w:sz w:val="24"/>
        </w:rPr>
        <w:t>snagged and partially lifted with a clamshell claw attachment on the crane</w:t>
      </w:r>
      <w:r>
        <w:rPr>
          <w:iCs/>
          <w:sz w:val="24"/>
        </w:rPr>
        <w:t xml:space="preserve">. The tote partially </w:t>
      </w:r>
      <w:r w:rsidR="004B209B">
        <w:rPr>
          <w:iCs/>
          <w:sz w:val="24"/>
        </w:rPr>
        <w:t>surfaced,</w:t>
      </w:r>
      <w:r>
        <w:rPr>
          <w:iCs/>
          <w:sz w:val="24"/>
        </w:rPr>
        <w:t xml:space="preserve"> and a</w:t>
      </w:r>
      <w:r w:rsidR="004B209B">
        <w:rPr>
          <w:iCs/>
          <w:sz w:val="24"/>
        </w:rPr>
        <w:t xml:space="preserve"> rainbow</w:t>
      </w:r>
      <w:r>
        <w:rPr>
          <w:iCs/>
          <w:sz w:val="24"/>
        </w:rPr>
        <w:t xml:space="preserve"> sheen </w:t>
      </w:r>
      <w:r w:rsidR="004B209B">
        <w:rPr>
          <w:iCs/>
          <w:sz w:val="24"/>
        </w:rPr>
        <w:t>formed around t</w:t>
      </w:r>
      <w:r>
        <w:rPr>
          <w:iCs/>
          <w:sz w:val="24"/>
        </w:rPr>
        <w:t xml:space="preserve">he tote before the tote broke off and resubmerged. Based on this evidence, the tote is suspected to be the source of the oily substance; however, the tote could not be recovered after it sank below the water surface. </w:t>
      </w:r>
      <w:r w:rsidR="000420C1">
        <w:rPr>
          <w:iCs/>
          <w:sz w:val="24"/>
        </w:rPr>
        <w:t xml:space="preserve">When the tote broke off from the crane attachment, the crane’s wire rigging became twisted and an all stop to current operations was issued due to concerns of significant damage to the sole forebay gantry crane as well as safety concerns for the personnel. </w:t>
      </w:r>
      <w:r w:rsidR="004B209B">
        <w:rPr>
          <w:iCs/>
          <w:sz w:val="24"/>
        </w:rPr>
        <w:t xml:space="preserve">Thus, this operation was ceased, and the decision was made by Bonneville Project to declare an emergency to receive an emergency contract to salvage this tote. </w:t>
      </w:r>
    </w:p>
    <w:p w14:paraId="7643CF24" w14:textId="77777777" w:rsidR="004B209B" w:rsidRDefault="004B209B" w:rsidP="006E2C00">
      <w:pPr>
        <w:rPr>
          <w:iCs/>
          <w:sz w:val="24"/>
        </w:rPr>
      </w:pPr>
    </w:p>
    <w:p w14:paraId="0761D914" w14:textId="13F68080" w:rsidR="004B209B" w:rsidRDefault="004B209B" w:rsidP="006E2C00">
      <w:pPr>
        <w:rPr>
          <w:iCs/>
          <w:sz w:val="24"/>
        </w:rPr>
      </w:pPr>
      <w:r>
        <w:rPr>
          <w:iCs/>
          <w:sz w:val="24"/>
        </w:rPr>
        <w:t xml:space="preserve">A Caution Order </w:t>
      </w:r>
      <w:r w:rsidR="00A502D2">
        <w:rPr>
          <w:iCs/>
          <w:sz w:val="24"/>
        </w:rPr>
        <w:t>was placed on the gate for slot</w:t>
      </w:r>
      <w:r>
        <w:rPr>
          <w:iCs/>
          <w:sz w:val="24"/>
        </w:rPr>
        <w:t xml:space="preserve"> 10B with </w:t>
      </w:r>
      <w:r w:rsidR="00737E1D">
        <w:rPr>
          <w:iCs/>
          <w:sz w:val="24"/>
        </w:rPr>
        <w:t>instructions to</w:t>
      </w:r>
      <w:r>
        <w:rPr>
          <w:iCs/>
          <w:sz w:val="24"/>
        </w:rPr>
        <w:t xml:space="preserve"> not operate this gate until Operations has been given permission to do so. </w:t>
      </w:r>
    </w:p>
    <w:p w14:paraId="4B33A771" w14:textId="77777777" w:rsidR="00B50A72" w:rsidRDefault="00B50A72" w:rsidP="006E2C00">
      <w:pPr>
        <w:rPr>
          <w:iCs/>
          <w:sz w:val="24"/>
        </w:rPr>
      </w:pPr>
    </w:p>
    <w:p w14:paraId="26535178" w14:textId="171410D2" w:rsidR="00B50A72" w:rsidRDefault="00B50A72" w:rsidP="006E2C00">
      <w:pPr>
        <w:rPr>
          <w:iCs/>
          <w:sz w:val="24"/>
        </w:rPr>
      </w:pPr>
      <w:r>
        <w:rPr>
          <w:iCs/>
          <w:sz w:val="24"/>
        </w:rPr>
        <w:t>On Friday 17 January 2025 at 1230, Portland District Dive Team, Bonneville Mechanical Crew, ECC, and Oregon DEQ Emergency Response Planner began a coordinated effort to retrieve the object. An oil boom was deployed to capture any potential loss. Dive operations were able to locate</w:t>
      </w:r>
      <w:r w:rsidR="00B110D2">
        <w:rPr>
          <w:iCs/>
          <w:sz w:val="24"/>
        </w:rPr>
        <w:t xml:space="preserve"> the object,</w:t>
      </w:r>
      <w:r>
        <w:rPr>
          <w:iCs/>
          <w:sz w:val="24"/>
        </w:rPr>
        <w:t xml:space="preserve"> which turned out to be an agricultural super sack. The </w:t>
      </w:r>
      <w:r w:rsidR="00B110D2">
        <w:rPr>
          <w:iCs/>
          <w:sz w:val="24"/>
        </w:rPr>
        <w:t>divers rigged the super sack to raise via PH1 gantry crane and the object was retrieved. During rigging operations, sporadic micro sheens were observed resulting in an estimated 1 Tbs oil substance to surface water. No material remained in the super sack upon recovery and no identifying labeling was present to determine source</w:t>
      </w:r>
      <w:r w:rsidR="00E247EE">
        <w:rPr>
          <w:iCs/>
          <w:sz w:val="24"/>
        </w:rPr>
        <w:t>, however it has been confirmed to not be property of USACE.</w:t>
      </w:r>
    </w:p>
    <w:p w14:paraId="0079F3C8" w14:textId="77777777" w:rsidR="00B110D2" w:rsidRDefault="00B110D2" w:rsidP="006E2C00">
      <w:pPr>
        <w:rPr>
          <w:iCs/>
          <w:sz w:val="24"/>
        </w:rPr>
      </w:pPr>
    </w:p>
    <w:p w14:paraId="04806E2F" w14:textId="0A33C1A1" w:rsidR="00B110D2" w:rsidRDefault="00B110D2" w:rsidP="006E2C00">
      <w:pPr>
        <w:rPr>
          <w:iCs/>
          <w:sz w:val="24"/>
        </w:rPr>
      </w:pPr>
      <w:r>
        <w:rPr>
          <w:iCs/>
          <w:sz w:val="24"/>
        </w:rPr>
        <w:t xml:space="preserve">Due to the location of dive operations, the PH1 ITS was closed from 1030 to 1500. This closure remained within the 6 HR allowable ITS closure per day found in the 2024 FPP Section BON 2.4.1.12. After dive operations completed and the clearance was lifted at 1500, the ITS returned to normal operation. </w:t>
      </w:r>
      <w:r>
        <w:rPr>
          <w:iCs/>
          <w:sz w:val="24"/>
        </w:rPr>
        <w:br/>
      </w:r>
      <w:r>
        <w:rPr>
          <w:iCs/>
          <w:sz w:val="24"/>
        </w:rPr>
        <w:br/>
      </w:r>
    </w:p>
    <w:p w14:paraId="78E8FF38" w14:textId="05F0BB70" w:rsidR="00861542" w:rsidRPr="00C73AB2" w:rsidRDefault="00861542" w:rsidP="00C73AB2">
      <w:pPr>
        <w:rPr>
          <w:iCs/>
          <w:sz w:val="24"/>
        </w:rPr>
      </w:pPr>
    </w:p>
    <w:p w14:paraId="1D93F9B0" w14:textId="61E35A02" w:rsidR="00861542" w:rsidRPr="000420C1" w:rsidRDefault="00861542" w:rsidP="00861542">
      <w:pPr>
        <w:pStyle w:val="ListParagraph"/>
        <w:numPr>
          <w:ilvl w:val="0"/>
          <w:numId w:val="1"/>
        </w:numPr>
        <w:tabs>
          <w:tab w:val="left" w:pos="821"/>
        </w:tabs>
        <w:spacing w:before="0"/>
        <w:ind w:hanging="361"/>
        <w:rPr>
          <w:sz w:val="24"/>
        </w:rPr>
      </w:pPr>
      <w:r w:rsidRPr="000420C1">
        <w:rPr>
          <w:sz w:val="24"/>
        </w:rPr>
        <w:lastRenderedPageBreak/>
        <w:t>Species</w:t>
      </w:r>
      <w:r w:rsidRPr="000420C1">
        <w:rPr>
          <w:spacing w:val="-2"/>
          <w:sz w:val="24"/>
        </w:rPr>
        <w:t xml:space="preserve"> </w:t>
      </w:r>
      <w:r w:rsidRPr="000420C1">
        <w:rPr>
          <w:sz w:val="24"/>
        </w:rPr>
        <w:t xml:space="preserve">– </w:t>
      </w:r>
      <w:r w:rsidR="007D57D9">
        <w:rPr>
          <w:sz w:val="24"/>
        </w:rPr>
        <w:t>NA</w:t>
      </w:r>
    </w:p>
    <w:p w14:paraId="50DE8F9B" w14:textId="77777777" w:rsidR="00861542" w:rsidRPr="000420C1" w:rsidRDefault="00861542" w:rsidP="00861542">
      <w:pPr>
        <w:pStyle w:val="ListParagraph"/>
        <w:numPr>
          <w:ilvl w:val="0"/>
          <w:numId w:val="1"/>
        </w:numPr>
        <w:tabs>
          <w:tab w:val="left" w:pos="821"/>
        </w:tabs>
        <w:ind w:hanging="361"/>
        <w:rPr>
          <w:sz w:val="24"/>
        </w:rPr>
      </w:pPr>
      <w:r w:rsidRPr="000420C1">
        <w:rPr>
          <w:sz w:val="24"/>
        </w:rPr>
        <w:t>Origin</w:t>
      </w:r>
      <w:r w:rsidRPr="000420C1">
        <w:rPr>
          <w:spacing w:val="-2"/>
          <w:sz w:val="24"/>
        </w:rPr>
        <w:t xml:space="preserve"> </w:t>
      </w:r>
      <w:r w:rsidRPr="000420C1">
        <w:rPr>
          <w:sz w:val="24"/>
        </w:rPr>
        <w:t>– NA</w:t>
      </w:r>
    </w:p>
    <w:p w14:paraId="05380FC5" w14:textId="77777777" w:rsidR="00861542" w:rsidRPr="000420C1" w:rsidRDefault="00861542" w:rsidP="00861542">
      <w:pPr>
        <w:pStyle w:val="ListParagraph"/>
        <w:numPr>
          <w:ilvl w:val="0"/>
          <w:numId w:val="1"/>
        </w:numPr>
        <w:tabs>
          <w:tab w:val="left" w:pos="821"/>
        </w:tabs>
        <w:spacing w:before="44"/>
        <w:ind w:hanging="361"/>
        <w:rPr>
          <w:sz w:val="24"/>
        </w:rPr>
      </w:pPr>
      <w:r w:rsidRPr="000420C1">
        <w:rPr>
          <w:sz w:val="24"/>
        </w:rPr>
        <w:t>Length</w:t>
      </w:r>
      <w:r w:rsidRPr="000420C1">
        <w:rPr>
          <w:spacing w:val="-3"/>
          <w:sz w:val="24"/>
        </w:rPr>
        <w:t xml:space="preserve"> </w:t>
      </w:r>
      <w:r w:rsidRPr="000420C1">
        <w:rPr>
          <w:sz w:val="24"/>
        </w:rPr>
        <w:t>– NA</w:t>
      </w:r>
    </w:p>
    <w:p w14:paraId="52C19F9A" w14:textId="77777777" w:rsidR="00861542" w:rsidRPr="000420C1" w:rsidRDefault="00861542" w:rsidP="00861542">
      <w:pPr>
        <w:pStyle w:val="ListParagraph"/>
        <w:numPr>
          <w:ilvl w:val="0"/>
          <w:numId w:val="1"/>
        </w:numPr>
        <w:tabs>
          <w:tab w:val="left" w:pos="821"/>
        </w:tabs>
        <w:ind w:hanging="361"/>
        <w:rPr>
          <w:sz w:val="24"/>
        </w:rPr>
      </w:pPr>
      <w:r w:rsidRPr="000420C1">
        <w:rPr>
          <w:sz w:val="24"/>
        </w:rPr>
        <w:t>Marks</w:t>
      </w:r>
      <w:r w:rsidRPr="000420C1">
        <w:rPr>
          <w:spacing w:val="-1"/>
          <w:sz w:val="24"/>
        </w:rPr>
        <w:t xml:space="preserve"> </w:t>
      </w:r>
      <w:r w:rsidRPr="000420C1">
        <w:rPr>
          <w:sz w:val="24"/>
        </w:rPr>
        <w:t>and</w:t>
      </w:r>
      <w:r w:rsidRPr="000420C1">
        <w:rPr>
          <w:spacing w:val="-2"/>
          <w:sz w:val="24"/>
        </w:rPr>
        <w:t xml:space="preserve"> </w:t>
      </w:r>
      <w:r w:rsidRPr="000420C1">
        <w:rPr>
          <w:sz w:val="24"/>
        </w:rPr>
        <w:t>tags</w:t>
      </w:r>
      <w:r w:rsidRPr="000420C1">
        <w:rPr>
          <w:spacing w:val="2"/>
          <w:sz w:val="24"/>
        </w:rPr>
        <w:t xml:space="preserve"> </w:t>
      </w:r>
      <w:r w:rsidRPr="000420C1">
        <w:rPr>
          <w:sz w:val="24"/>
        </w:rPr>
        <w:t>– NA</w:t>
      </w:r>
    </w:p>
    <w:p w14:paraId="6914C922" w14:textId="77777777" w:rsidR="00861542" w:rsidRPr="000420C1" w:rsidRDefault="00861542" w:rsidP="00861542">
      <w:pPr>
        <w:pStyle w:val="ListParagraph"/>
        <w:numPr>
          <w:ilvl w:val="0"/>
          <w:numId w:val="1"/>
        </w:numPr>
        <w:tabs>
          <w:tab w:val="left" w:pos="821"/>
        </w:tabs>
        <w:spacing w:before="44"/>
        <w:ind w:hanging="361"/>
        <w:rPr>
          <w:sz w:val="24"/>
        </w:rPr>
      </w:pPr>
      <w:r w:rsidRPr="000420C1">
        <w:rPr>
          <w:sz w:val="24"/>
        </w:rPr>
        <w:t>Marks</w:t>
      </w:r>
      <w:r w:rsidRPr="000420C1">
        <w:rPr>
          <w:spacing w:val="-1"/>
          <w:sz w:val="24"/>
        </w:rPr>
        <w:t xml:space="preserve"> </w:t>
      </w:r>
      <w:r w:rsidRPr="000420C1">
        <w:rPr>
          <w:sz w:val="24"/>
        </w:rPr>
        <w:t>and</w:t>
      </w:r>
      <w:r w:rsidRPr="000420C1">
        <w:rPr>
          <w:spacing w:val="-2"/>
          <w:sz w:val="24"/>
        </w:rPr>
        <w:t xml:space="preserve"> </w:t>
      </w:r>
      <w:r w:rsidRPr="000420C1">
        <w:rPr>
          <w:sz w:val="24"/>
        </w:rPr>
        <w:t>Injuries</w:t>
      </w:r>
      <w:r w:rsidRPr="000420C1">
        <w:rPr>
          <w:spacing w:val="1"/>
          <w:sz w:val="24"/>
        </w:rPr>
        <w:t xml:space="preserve"> </w:t>
      </w:r>
      <w:r w:rsidRPr="000420C1">
        <w:rPr>
          <w:sz w:val="24"/>
        </w:rPr>
        <w:t>found</w:t>
      </w:r>
      <w:r w:rsidRPr="000420C1">
        <w:rPr>
          <w:spacing w:val="-1"/>
          <w:sz w:val="24"/>
        </w:rPr>
        <w:t xml:space="preserve"> </w:t>
      </w:r>
      <w:r w:rsidRPr="000420C1">
        <w:rPr>
          <w:sz w:val="24"/>
        </w:rPr>
        <w:t>on</w:t>
      </w:r>
      <w:r w:rsidRPr="000420C1">
        <w:rPr>
          <w:spacing w:val="-2"/>
          <w:sz w:val="24"/>
        </w:rPr>
        <w:t xml:space="preserve"> </w:t>
      </w:r>
      <w:r w:rsidRPr="000420C1">
        <w:rPr>
          <w:sz w:val="24"/>
        </w:rPr>
        <w:t>carcass</w:t>
      </w:r>
      <w:r w:rsidRPr="000420C1">
        <w:rPr>
          <w:spacing w:val="1"/>
          <w:sz w:val="24"/>
        </w:rPr>
        <w:t xml:space="preserve"> </w:t>
      </w:r>
      <w:r w:rsidRPr="000420C1">
        <w:rPr>
          <w:sz w:val="24"/>
        </w:rPr>
        <w:t>– NA</w:t>
      </w:r>
    </w:p>
    <w:p w14:paraId="5D7516A9" w14:textId="77777777" w:rsidR="00861542" w:rsidRPr="000420C1" w:rsidRDefault="00861542" w:rsidP="00861542">
      <w:pPr>
        <w:pStyle w:val="ListParagraph"/>
        <w:numPr>
          <w:ilvl w:val="0"/>
          <w:numId w:val="1"/>
        </w:numPr>
        <w:tabs>
          <w:tab w:val="left" w:pos="821"/>
        </w:tabs>
        <w:spacing w:before="40"/>
        <w:ind w:hanging="361"/>
        <w:rPr>
          <w:sz w:val="24"/>
        </w:rPr>
      </w:pPr>
      <w:r w:rsidRPr="000420C1">
        <w:rPr>
          <w:sz w:val="24"/>
        </w:rPr>
        <w:t>Cause</w:t>
      </w:r>
      <w:r w:rsidRPr="000420C1">
        <w:rPr>
          <w:spacing w:val="-3"/>
          <w:sz w:val="24"/>
        </w:rPr>
        <w:t xml:space="preserve"> </w:t>
      </w:r>
      <w:r w:rsidRPr="000420C1">
        <w:rPr>
          <w:sz w:val="24"/>
        </w:rPr>
        <w:t>and</w:t>
      </w:r>
      <w:r w:rsidRPr="000420C1">
        <w:rPr>
          <w:spacing w:val="-1"/>
          <w:sz w:val="24"/>
        </w:rPr>
        <w:t xml:space="preserve"> </w:t>
      </w:r>
      <w:r w:rsidRPr="000420C1">
        <w:rPr>
          <w:sz w:val="24"/>
        </w:rPr>
        <w:t>Time</w:t>
      </w:r>
      <w:r w:rsidRPr="000420C1">
        <w:rPr>
          <w:spacing w:val="-2"/>
          <w:sz w:val="24"/>
        </w:rPr>
        <w:t xml:space="preserve"> </w:t>
      </w:r>
      <w:r w:rsidRPr="000420C1">
        <w:rPr>
          <w:sz w:val="24"/>
        </w:rPr>
        <w:t>of</w:t>
      </w:r>
      <w:r w:rsidRPr="000420C1">
        <w:rPr>
          <w:spacing w:val="-1"/>
          <w:sz w:val="24"/>
        </w:rPr>
        <w:t xml:space="preserve"> </w:t>
      </w:r>
      <w:r w:rsidRPr="000420C1">
        <w:rPr>
          <w:sz w:val="24"/>
        </w:rPr>
        <w:t>Death</w:t>
      </w:r>
      <w:r w:rsidRPr="000420C1">
        <w:rPr>
          <w:spacing w:val="1"/>
          <w:sz w:val="24"/>
        </w:rPr>
        <w:t xml:space="preserve"> </w:t>
      </w:r>
      <w:r w:rsidRPr="000420C1">
        <w:rPr>
          <w:sz w:val="24"/>
        </w:rPr>
        <w:t>– No mortalities.</w:t>
      </w:r>
    </w:p>
    <w:p w14:paraId="6FF32E27" w14:textId="400AADF7" w:rsidR="00861542" w:rsidRPr="000420C1" w:rsidRDefault="00861542" w:rsidP="00861542">
      <w:pPr>
        <w:pStyle w:val="ListParagraph"/>
        <w:numPr>
          <w:ilvl w:val="0"/>
          <w:numId w:val="1"/>
        </w:numPr>
        <w:tabs>
          <w:tab w:val="left" w:pos="821"/>
        </w:tabs>
        <w:spacing w:before="44"/>
        <w:ind w:hanging="361"/>
        <w:rPr>
          <w:sz w:val="24"/>
        </w:rPr>
        <w:sectPr w:rsidR="00861542" w:rsidRPr="000420C1" w:rsidSect="00861542">
          <w:headerReference w:type="even" r:id="rId7"/>
          <w:headerReference w:type="default" r:id="rId8"/>
          <w:footerReference w:type="even" r:id="rId9"/>
          <w:footerReference w:type="default" r:id="rId10"/>
          <w:headerReference w:type="first" r:id="rId11"/>
          <w:footerReference w:type="first" r:id="rId12"/>
          <w:pgSz w:w="12240" w:h="15840"/>
          <w:pgMar w:top="1380" w:right="1320" w:bottom="280" w:left="1340" w:header="720" w:footer="720" w:gutter="0"/>
          <w:cols w:space="720"/>
        </w:sectPr>
      </w:pPr>
      <w:r w:rsidRPr="000420C1">
        <w:rPr>
          <w:sz w:val="24"/>
        </w:rPr>
        <w:t>Future and</w:t>
      </w:r>
      <w:r w:rsidRPr="000420C1">
        <w:rPr>
          <w:spacing w:val="-3"/>
          <w:sz w:val="24"/>
        </w:rPr>
        <w:t xml:space="preserve"> </w:t>
      </w:r>
      <w:r w:rsidRPr="000420C1">
        <w:rPr>
          <w:sz w:val="24"/>
        </w:rPr>
        <w:t>Preventative</w:t>
      </w:r>
      <w:r w:rsidRPr="000420C1">
        <w:rPr>
          <w:spacing w:val="-4"/>
          <w:sz w:val="24"/>
        </w:rPr>
        <w:t xml:space="preserve"> </w:t>
      </w:r>
      <w:r w:rsidRPr="000420C1">
        <w:rPr>
          <w:sz w:val="24"/>
        </w:rPr>
        <w:t>Measures</w:t>
      </w:r>
      <w:r w:rsidRPr="000420C1">
        <w:rPr>
          <w:spacing w:val="2"/>
          <w:sz w:val="24"/>
        </w:rPr>
        <w:t xml:space="preserve"> </w:t>
      </w:r>
      <w:r w:rsidRPr="000420C1">
        <w:rPr>
          <w:sz w:val="24"/>
        </w:rPr>
        <w:t>–</w:t>
      </w:r>
      <w:r w:rsidR="005959E8" w:rsidRPr="000420C1">
        <w:rPr>
          <w:sz w:val="24"/>
        </w:rPr>
        <w:t xml:space="preserve"> NA</w:t>
      </w:r>
    </w:p>
    <w:p w14:paraId="5F3E896C" w14:textId="23AC5F4C" w:rsidR="00861542" w:rsidRDefault="007D57D9" w:rsidP="00861542">
      <w:pPr>
        <w:spacing w:before="214"/>
        <w:ind w:right="-6780"/>
        <w:rPr>
          <w:iCs/>
          <w:sz w:val="24"/>
        </w:rPr>
      </w:pPr>
      <w:r>
        <w:rPr>
          <w:iCs/>
          <w:noProof/>
          <w:sz w:val="24"/>
          <w14:ligatures w14:val="standardContextual"/>
        </w:rPr>
        <w:drawing>
          <wp:inline distT="0" distB="0" distL="0" distR="0" wp14:anchorId="60DA7455" wp14:editId="43BBD2CF">
            <wp:extent cx="2943629" cy="3924300"/>
            <wp:effectExtent l="0" t="0" r="9525" b="0"/>
            <wp:docPr id="549992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92390" name="Picture 549992390"/>
                    <pic:cNvPicPr/>
                  </pic:nvPicPr>
                  <pic:blipFill>
                    <a:blip r:embed="rId13">
                      <a:extLst>
                        <a:ext uri="{28A0092B-C50C-407E-A947-70E740481C1C}">
                          <a14:useLocalDpi xmlns:a14="http://schemas.microsoft.com/office/drawing/2010/main" val="0"/>
                        </a:ext>
                      </a:extLst>
                    </a:blip>
                    <a:stretch>
                      <a:fillRect/>
                    </a:stretch>
                  </pic:blipFill>
                  <pic:spPr>
                    <a:xfrm>
                      <a:off x="0" y="0"/>
                      <a:ext cx="2970833" cy="3960567"/>
                    </a:xfrm>
                    <a:prstGeom prst="rect">
                      <a:avLst/>
                    </a:prstGeom>
                  </pic:spPr>
                </pic:pic>
              </a:graphicData>
            </a:graphic>
          </wp:inline>
        </w:drawing>
      </w:r>
      <w:r>
        <w:rPr>
          <w:iCs/>
          <w:noProof/>
          <w:sz w:val="24"/>
          <w14:ligatures w14:val="standardContextual"/>
        </w:rPr>
        <w:drawing>
          <wp:inline distT="0" distB="0" distL="0" distR="0" wp14:anchorId="26D09EA8" wp14:editId="1302601C">
            <wp:extent cx="2943225" cy="3923762"/>
            <wp:effectExtent l="0" t="0" r="0" b="635"/>
            <wp:docPr id="1027850196" name="Picture 2" descr="A picture containing outdoor, sky,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50196" name="Picture 2" descr="A picture containing outdoor, sky, 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943751" cy="3924463"/>
                    </a:xfrm>
                    <a:prstGeom prst="rect">
                      <a:avLst/>
                    </a:prstGeom>
                  </pic:spPr>
                </pic:pic>
              </a:graphicData>
            </a:graphic>
          </wp:inline>
        </w:drawing>
      </w:r>
    </w:p>
    <w:p w14:paraId="747FFA88" w14:textId="77777777" w:rsidR="007D57D9" w:rsidRPr="000420C1" w:rsidRDefault="007D57D9" w:rsidP="00861542">
      <w:pPr>
        <w:spacing w:before="214"/>
        <w:ind w:right="-6780"/>
        <w:rPr>
          <w:iCs/>
          <w:sz w:val="24"/>
        </w:rPr>
      </w:pPr>
    </w:p>
    <w:p w14:paraId="7D2AECCA" w14:textId="77777777" w:rsidR="00861542" w:rsidRPr="000420C1" w:rsidRDefault="00861542" w:rsidP="00861542">
      <w:pPr>
        <w:ind w:right="-6780"/>
        <w:jc w:val="right"/>
        <w:rPr>
          <w:sz w:val="24"/>
          <w:szCs w:val="24"/>
        </w:rPr>
      </w:pPr>
      <w:r w:rsidRPr="000420C1">
        <w:rPr>
          <w:sz w:val="24"/>
          <w:szCs w:val="24"/>
        </w:rPr>
        <w:t>Sincerely,</w:t>
      </w:r>
    </w:p>
    <w:p w14:paraId="72CB0B8C" w14:textId="77777777" w:rsidR="00861542" w:rsidRPr="007F4BA8" w:rsidRDefault="00861542" w:rsidP="00861542">
      <w:pPr>
        <w:ind w:right="-6780"/>
        <w:jc w:val="right"/>
        <w:rPr>
          <w:sz w:val="24"/>
          <w:szCs w:val="24"/>
        </w:rPr>
      </w:pPr>
      <w:r w:rsidRPr="000420C1">
        <w:rPr>
          <w:sz w:val="24"/>
          <w:szCs w:val="24"/>
        </w:rPr>
        <w:t>Bonneville Project Fisheries</w:t>
      </w:r>
    </w:p>
    <w:p w14:paraId="7286F7F6" w14:textId="77777777" w:rsidR="00861542" w:rsidRDefault="00861542" w:rsidP="00861542">
      <w:pPr>
        <w:pStyle w:val="BodyText"/>
        <w:spacing w:before="230" w:line="278" w:lineRule="auto"/>
        <w:ind w:left="100" w:right="105" w:firstLine="640"/>
      </w:pPr>
    </w:p>
    <w:p w14:paraId="4DB3A8C2" w14:textId="77777777" w:rsidR="00085CB0" w:rsidRDefault="00085CB0"/>
    <w:sectPr w:rsidR="00085CB0" w:rsidSect="00861542">
      <w:type w:val="continuous"/>
      <w:pgSz w:w="12240" w:h="15840"/>
      <w:pgMar w:top="1380" w:right="1320" w:bottom="280" w:left="1340" w:header="720" w:footer="720" w:gutter="0"/>
      <w:cols w:num="2" w:space="720" w:equalWidth="0">
        <w:col w:w="2760" w:space="4998"/>
        <w:col w:w="182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FD6D" w14:textId="77777777" w:rsidR="00D805A6" w:rsidRDefault="00D805A6" w:rsidP="00D805A6">
      <w:r>
        <w:separator/>
      </w:r>
    </w:p>
  </w:endnote>
  <w:endnote w:type="continuationSeparator" w:id="0">
    <w:p w14:paraId="3EFA65F0" w14:textId="77777777" w:rsidR="00D805A6" w:rsidRDefault="00D805A6" w:rsidP="00D8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FCEB" w14:textId="77777777" w:rsidR="00D805A6" w:rsidRDefault="00D80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CF01" w14:textId="77777777" w:rsidR="00D805A6" w:rsidRDefault="00D80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7AF0" w14:textId="77777777" w:rsidR="00D805A6" w:rsidRDefault="00D80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26E85" w14:textId="77777777" w:rsidR="00D805A6" w:rsidRDefault="00D805A6" w:rsidP="00D805A6">
      <w:r>
        <w:separator/>
      </w:r>
    </w:p>
  </w:footnote>
  <w:footnote w:type="continuationSeparator" w:id="0">
    <w:p w14:paraId="0BF58019" w14:textId="77777777" w:rsidR="00D805A6" w:rsidRDefault="00D805A6" w:rsidP="00D80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D1B1" w14:textId="77777777" w:rsidR="00D805A6" w:rsidRDefault="00D80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85CA" w14:textId="77777777" w:rsidR="00D805A6" w:rsidRDefault="00D80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F0A5" w14:textId="77777777" w:rsidR="00D805A6" w:rsidRDefault="00D80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C36BD"/>
    <w:multiLevelType w:val="hybridMultilevel"/>
    <w:tmpl w:val="7C82E5D4"/>
    <w:lvl w:ilvl="0" w:tplc="72F45400">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FAFADDC8">
      <w:numFmt w:val="bullet"/>
      <w:lvlText w:val="•"/>
      <w:lvlJc w:val="left"/>
      <w:pPr>
        <w:ind w:left="1696" w:hanging="360"/>
      </w:pPr>
      <w:rPr>
        <w:rFonts w:hint="default"/>
        <w:lang w:val="en-US" w:eastAsia="en-US" w:bidi="ar-SA"/>
      </w:rPr>
    </w:lvl>
    <w:lvl w:ilvl="2" w:tplc="BFC6A1B2">
      <w:numFmt w:val="bullet"/>
      <w:lvlText w:val="•"/>
      <w:lvlJc w:val="left"/>
      <w:pPr>
        <w:ind w:left="2572" w:hanging="360"/>
      </w:pPr>
      <w:rPr>
        <w:rFonts w:hint="default"/>
        <w:lang w:val="en-US" w:eastAsia="en-US" w:bidi="ar-SA"/>
      </w:rPr>
    </w:lvl>
    <w:lvl w:ilvl="3" w:tplc="B09A87D4">
      <w:numFmt w:val="bullet"/>
      <w:lvlText w:val="•"/>
      <w:lvlJc w:val="left"/>
      <w:pPr>
        <w:ind w:left="3448" w:hanging="360"/>
      </w:pPr>
      <w:rPr>
        <w:rFonts w:hint="default"/>
        <w:lang w:val="en-US" w:eastAsia="en-US" w:bidi="ar-SA"/>
      </w:rPr>
    </w:lvl>
    <w:lvl w:ilvl="4" w:tplc="48707C0E">
      <w:numFmt w:val="bullet"/>
      <w:lvlText w:val="•"/>
      <w:lvlJc w:val="left"/>
      <w:pPr>
        <w:ind w:left="4324" w:hanging="360"/>
      </w:pPr>
      <w:rPr>
        <w:rFonts w:hint="default"/>
        <w:lang w:val="en-US" w:eastAsia="en-US" w:bidi="ar-SA"/>
      </w:rPr>
    </w:lvl>
    <w:lvl w:ilvl="5" w:tplc="C2666E62">
      <w:numFmt w:val="bullet"/>
      <w:lvlText w:val="•"/>
      <w:lvlJc w:val="left"/>
      <w:pPr>
        <w:ind w:left="5200" w:hanging="360"/>
      </w:pPr>
      <w:rPr>
        <w:rFonts w:hint="default"/>
        <w:lang w:val="en-US" w:eastAsia="en-US" w:bidi="ar-SA"/>
      </w:rPr>
    </w:lvl>
    <w:lvl w:ilvl="6" w:tplc="39CEEB66">
      <w:numFmt w:val="bullet"/>
      <w:lvlText w:val="•"/>
      <w:lvlJc w:val="left"/>
      <w:pPr>
        <w:ind w:left="6076" w:hanging="360"/>
      </w:pPr>
      <w:rPr>
        <w:rFonts w:hint="default"/>
        <w:lang w:val="en-US" w:eastAsia="en-US" w:bidi="ar-SA"/>
      </w:rPr>
    </w:lvl>
    <w:lvl w:ilvl="7" w:tplc="475E686C">
      <w:numFmt w:val="bullet"/>
      <w:lvlText w:val="•"/>
      <w:lvlJc w:val="left"/>
      <w:pPr>
        <w:ind w:left="6952" w:hanging="360"/>
      </w:pPr>
      <w:rPr>
        <w:rFonts w:hint="default"/>
        <w:lang w:val="en-US" w:eastAsia="en-US" w:bidi="ar-SA"/>
      </w:rPr>
    </w:lvl>
    <w:lvl w:ilvl="8" w:tplc="61B86CFA">
      <w:numFmt w:val="bullet"/>
      <w:lvlText w:val="•"/>
      <w:lvlJc w:val="left"/>
      <w:pPr>
        <w:ind w:left="7828" w:hanging="360"/>
      </w:pPr>
      <w:rPr>
        <w:rFonts w:hint="default"/>
        <w:lang w:val="en-US" w:eastAsia="en-US" w:bidi="ar-SA"/>
      </w:rPr>
    </w:lvl>
  </w:abstractNum>
  <w:num w:numId="1" w16cid:durableId="158860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42"/>
    <w:rsid w:val="00041447"/>
    <w:rsid w:val="000420C1"/>
    <w:rsid w:val="00056B8D"/>
    <w:rsid w:val="00060B51"/>
    <w:rsid w:val="00085CB0"/>
    <w:rsid w:val="000C44EC"/>
    <w:rsid w:val="0015236C"/>
    <w:rsid w:val="002F44BB"/>
    <w:rsid w:val="00347330"/>
    <w:rsid w:val="003668B1"/>
    <w:rsid w:val="00393345"/>
    <w:rsid w:val="003B495D"/>
    <w:rsid w:val="003C256B"/>
    <w:rsid w:val="003D0A12"/>
    <w:rsid w:val="004015F2"/>
    <w:rsid w:val="00402E1B"/>
    <w:rsid w:val="00443DD6"/>
    <w:rsid w:val="004B209B"/>
    <w:rsid w:val="00506F72"/>
    <w:rsid w:val="00552BDC"/>
    <w:rsid w:val="005959E8"/>
    <w:rsid w:val="005E7E1F"/>
    <w:rsid w:val="00602FDB"/>
    <w:rsid w:val="006667F7"/>
    <w:rsid w:val="006E2C00"/>
    <w:rsid w:val="00737E1D"/>
    <w:rsid w:val="0079405D"/>
    <w:rsid w:val="007D57D9"/>
    <w:rsid w:val="00861542"/>
    <w:rsid w:val="008E1DF6"/>
    <w:rsid w:val="009A1837"/>
    <w:rsid w:val="009F5093"/>
    <w:rsid w:val="00A379B1"/>
    <w:rsid w:val="00A502D2"/>
    <w:rsid w:val="00AD46C7"/>
    <w:rsid w:val="00B110D2"/>
    <w:rsid w:val="00B50A72"/>
    <w:rsid w:val="00C554FF"/>
    <w:rsid w:val="00C73AB2"/>
    <w:rsid w:val="00C74A72"/>
    <w:rsid w:val="00D805A6"/>
    <w:rsid w:val="00E1338F"/>
    <w:rsid w:val="00E247EE"/>
    <w:rsid w:val="00E818AB"/>
    <w:rsid w:val="00EE337A"/>
    <w:rsid w:val="00EF6E61"/>
    <w:rsid w:val="00F2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91B525"/>
  <w15:chartTrackingRefBased/>
  <w15:docId w15:val="{5A50A538-8B17-45AE-82FB-6679D875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4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61542"/>
    <w:rPr>
      <w:sz w:val="24"/>
      <w:szCs w:val="24"/>
    </w:rPr>
  </w:style>
  <w:style w:type="character" w:customStyle="1" w:styleId="BodyTextChar">
    <w:name w:val="Body Text Char"/>
    <w:basedOn w:val="DefaultParagraphFont"/>
    <w:link w:val="BodyText"/>
    <w:uiPriority w:val="1"/>
    <w:rsid w:val="0086154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861542"/>
    <w:pPr>
      <w:spacing w:before="39"/>
      <w:ind w:left="821" w:hanging="361"/>
    </w:pPr>
  </w:style>
  <w:style w:type="paragraph" w:styleId="PlainText">
    <w:name w:val="Plain Text"/>
    <w:basedOn w:val="Normal"/>
    <w:link w:val="PlainTextChar"/>
    <w:semiHidden/>
    <w:unhideWhenUsed/>
    <w:rsid w:val="00C73AB2"/>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semiHidden/>
    <w:rsid w:val="00C73AB2"/>
    <w:rPr>
      <w:rFonts w:ascii="Courier New" w:eastAsia="Times New Roman" w:hAnsi="Courier New" w:cs="Courier New"/>
      <w:kern w:val="0"/>
      <w:sz w:val="20"/>
      <w:szCs w:val="20"/>
      <w14:ligatures w14:val="none"/>
    </w:rPr>
  </w:style>
  <w:style w:type="paragraph" w:styleId="Revision">
    <w:name w:val="Revision"/>
    <w:hidden/>
    <w:uiPriority w:val="99"/>
    <w:semiHidden/>
    <w:rsid w:val="00041447"/>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805A6"/>
    <w:pPr>
      <w:tabs>
        <w:tab w:val="center" w:pos="4680"/>
        <w:tab w:val="right" w:pos="9360"/>
      </w:tabs>
    </w:pPr>
  </w:style>
  <w:style w:type="character" w:customStyle="1" w:styleId="HeaderChar">
    <w:name w:val="Header Char"/>
    <w:basedOn w:val="DefaultParagraphFont"/>
    <w:link w:val="Header"/>
    <w:uiPriority w:val="99"/>
    <w:rsid w:val="00D805A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805A6"/>
    <w:pPr>
      <w:tabs>
        <w:tab w:val="center" w:pos="4680"/>
        <w:tab w:val="right" w:pos="9360"/>
      </w:tabs>
    </w:pPr>
  </w:style>
  <w:style w:type="character" w:customStyle="1" w:styleId="FooterChar">
    <w:name w:val="Footer Char"/>
    <w:basedOn w:val="DefaultParagraphFont"/>
    <w:link w:val="Footer"/>
    <w:uiPriority w:val="99"/>
    <w:rsid w:val="00D805A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15918">
      <w:bodyDiv w:val="1"/>
      <w:marLeft w:val="0"/>
      <w:marRight w:val="0"/>
      <w:marTop w:val="0"/>
      <w:marBottom w:val="0"/>
      <w:divBdr>
        <w:top w:val="none" w:sz="0" w:space="0" w:color="auto"/>
        <w:left w:val="none" w:sz="0" w:space="0" w:color="auto"/>
        <w:bottom w:val="none" w:sz="0" w:space="0" w:color="auto"/>
        <w:right w:val="none" w:sz="0" w:space="0" w:color="auto"/>
      </w:divBdr>
    </w:div>
    <w:div w:id="190560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602</Words>
  <Characters>2914</Characters>
  <Application>Microsoft Office Word</Application>
  <DocSecurity>0</DocSecurity>
  <Lines>63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Rebecca I CIV USARMY CENWP (USA)</dc:creator>
  <cp:keywords/>
  <dc:description/>
  <cp:lastModifiedBy>Flemmer, Jeanette C CIV USARMY CENWP (USA)</cp:lastModifiedBy>
  <cp:revision>8</cp:revision>
  <dcterms:created xsi:type="dcterms:W3CDTF">2025-01-17T00:41:00Z</dcterms:created>
  <dcterms:modified xsi:type="dcterms:W3CDTF">2025-01-21T21:22:00Z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